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84" w:rsidRDefault="00FA7784" w:rsidP="00FA7784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Приложение № 1</w:t>
      </w:r>
    </w:p>
    <w:p w:rsidR="00FA7784" w:rsidRDefault="00FA7784" w:rsidP="00FA7784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к приказу от 23.10.2015 № 82 о/д</w:t>
      </w:r>
    </w:p>
    <w:p w:rsidR="00FA7784" w:rsidRDefault="00FA7784" w:rsidP="00FA7784">
      <w:pPr>
        <w:pStyle w:val="p12"/>
        <w:shd w:val="clear" w:color="auto" w:fill="FFFFFF"/>
        <w:ind w:left="425"/>
        <w:jc w:val="center"/>
        <w:rPr>
          <w:color w:val="000000"/>
        </w:rPr>
      </w:pPr>
      <w:bookmarkStart w:id="0" w:name="_GoBack"/>
      <w:r>
        <w:rPr>
          <w:color w:val="000000"/>
        </w:rPr>
        <w:t>Антикоррупционная политика</w:t>
      </w:r>
    </w:p>
    <w:p w:rsidR="00FA7784" w:rsidRDefault="00FA7784" w:rsidP="00FA7784">
      <w:pPr>
        <w:pStyle w:val="p12"/>
        <w:shd w:val="clear" w:color="auto" w:fill="FFFFFF"/>
        <w:ind w:left="425"/>
        <w:jc w:val="center"/>
        <w:rPr>
          <w:color w:val="000000"/>
        </w:rPr>
      </w:pPr>
      <w:r>
        <w:rPr>
          <w:color w:val="000000"/>
        </w:rPr>
        <w:t>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</w:t>
      </w:r>
    </w:p>
    <w:p w:rsidR="00FA7784" w:rsidRDefault="00FA7784" w:rsidP="00FA7784">
      <w:pPr>
        <w:pStyle w:val="p12"/>
        <w:shd w:val="clear" w:color="auto" w:fill="FFFFFF"/>
        <w:ind w:left="425"/>
        <w:jc w:val="center"/>
        <w:rPr>
          <w:color w:val="000000"/>
        </w:rPr>
      </w:pPr>
      <w:r>
        <w:rPr>
          <w:color w:val="000000"/>
        </w:rPr>
        <w:t>на 2015- 2017 годы</w:t>
      </w:r>
      <w:bookmarkEnd w:id="0"/>
    </w:p>
    <w:p w:rsidR="00FA7784" w:rsidRDefault="00FA7784" w:rsidP="00FA7784">
      <w:pPr>
        <w:pStyle w:val="p13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1.​ </w:t>
      </w:r>
      <w:bookmarkStart w:id="1" w:name="_Toc369706625"/>
      <w:r>
        <w:rPr>
          <w:color w:val="000000"/>
        </w:rPr>
        <w:t>Цели и задачи внедрения антикоррупционной политики</w:t>
      </w:r>
      <w:bookmarkEnd w:id="1"/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Основополагающим нормативным правовым актом в сфере борьбы с коррупцией является Федеральный закон от 25 декабря 2008г. № 273-ФЗ «О противодействии коррупции» (далее – Федеральный закон «О противодействии коррупции»). Частью 1 статьи 13.3 Федерального закона «О противодействии коррупции» установлена обязанность организаций </w:t>
      </w:r>
      <w:proofErr w:type="gramStart"/>
      <w:r>
        <w:rPr>
          <w:color w:val="000000"/>
        </w:rPr>
        <w:t>разрабатывать</w:t>
      </w:r>
      <w:proofErr w:type="gramEnd"/>
      <w:r>
        <w:rPr>
          <w:color w:val="000000"/>
        </w:rPr>
        <w:t xml:space="preserve"> и принимать меры по предупреждению коррупции. Меры, рекомендуемые к применению в организациях, содержатся в части 2 указанной статьи.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 рамках организации антикоррупционной деятельности на территории городского округа «Ухта» действует а «Противодействие коррупции в муниципальном образовании городского округа «Ухта» (2014 - 2016 годы)», утвержденная постановлением администрации МОГО «Ухта» от 11 июля 2014 года № 1208.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Антикоррупционная политика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(далее - Политика) представляет собой комплекс взаимосвязанных принципов, процедур и конкретных мероприятий, направленных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создание у работников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единообразного понимания о неприятии учреждением коррупционных действий в любых формах и проявлениях;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минимизацию риска вовлечения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в коррупционную деятельность.</w:t>
      </w:r>
    </w:p>
    <w:p w:rsidR="00FA7784" w:rsidRDefault="00FA7784" w:rsidP="00FA7784">
      <w:pPr>
        <w:pStyle w:val="p1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2. Используемые в Политике термины и определения.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color w:val="000000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</w:t>
      </w:r>
      <w:r>
        <w:rPr>
          <w:color w:val="000000"/>
        </w:rPr>
        <w:lastRenderedPageBreak/>
        <w:t>лиц в пределах их полномочий (пункт 2 статьи 1 Федерального закона от 25 декабря 2008 г. № 273-ФЗ «О противодействии коррупции»):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в) по минимизации и (или) ликвидации последствий коррупционных правонарушений.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color w:val="000000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Комплаенс</w:t>
      </w:r>
      <w:proofErr w:type="spellEnd"/>
      <w:r>
        <w:rPr>
          <w:color w:val="000000"/>
        </w:rPr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</w:t>
      </w:r>
      <w:proofErr w:type="spellStart"/>
      <w:r>
        <w:rPr>
          <w:color w:val="000000"/>
        </w:rPr>
        <w:t>коррупционно</w:t>
      </w:r>
      <w:proofErr w:type="spellEnd"/>
      <w:r>
        <w:rPr>
          <w:color w:val="000000"/>
        </w:rPr>
        <w:t xml:space="preserve"> опасных сфер деятельности и обеспечение комплексной защиты организации.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</w:t>
      </w:r>
      <w:r>
        <w:rPr>
          <w:color w:val="000000"/>
        </w:rPr>
        <w:lastRenderedPageBreak/>
        <w:t>(или) деловой репутации организации, работником</w:t>
      </w:r>
      <w:proofErr w:type="gramEnd"/>
      <w:r>
        <w:rPr>
          <w:color w:val="000000"/>
        </w:rPr>
        <w:t xml:space="preserve"> (представителем организации) которой он является.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A7784" w:rsidRDefault="00FA7784" w:rsidP="00FA7784">
      <w:pPr>
        <w:pStyle w:val="p14"/>
        <w:shd w:val="clear" w:color="auto" w:fill="FFFFFF"/>
        <w:ind w:firstLine="708"/>
        <w:rPr>
          <w:color w:val="000000"/>
        </w:rPr>
      </w:pPr>
      <w:r>
        <w:rPr>
          <w:rStyle w:val="s1"/>
          <w:color w:val="000000"/>
        </w:rPr>
        <w:t>3.​ </w:t>
      </w:r>
      <w:r>
        <w:rPr>
          <w:color w:val="000000"/>
        </w:rPr>
        <w:t>Основные принципы антикоррупционной деятельности организации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 создании системы мер противодействия коррупции в организации рекомендуется основываться на следующих ключевых принципах: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1)​ </w:t>
      </w:r>
      <w:r>
        <w:rPr>
          <w:color w:val="000000"/>
        </w:rPr>
        <w:t>Принцип соответствия политики организации действующему законодательству и общепринятым нормам.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2)​ </w:t>
      </w:r>
      <w:r>
        <w:rPr>
          <w:color w:val="000000"/>
        </w:rPr>
        <w:t>Принцип личного примера руководства.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3)​ </w:t>
      </w:r>
      <w:r>
        <w:rPr>
          <w:color w:val="000000"/>
        </w:rPr>
        <w:t>Принцип вовлеченности работников.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4)​ </w:t>
      </w:r>
      <w:r>
        <w:rPr>
          <w:color w:val="000000"/>
        </w:rPr>
        <w:t>Принцип соразмерности антикоррупционных процедур риску коррупции.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5)​ </w:t>
      </w:r>
      <w:r>
        <w:rPr>
          <w:color w:val="000000"/>
        </w:rPr>
        <w:t>Принцип эффективности антикоррупционных процедур.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color w:val="000000"/>
        </w:rPr>
        <w:t>приносят значимый результат</w:t>
      </w:r>
      <w:proofErr w:type="gramEnd"/>
      <w:r>
        <w:rPr>
          <w:color w:val="000000"/>
        </w:rPr>
        <w:t>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6)​ </w:t>
      </w:r>
      <w:r>
        <w:rPr>
          <w:color w:val="000000"/>
        </w:rPr>
        <w:t>Принцип ответственности и неотвратимости наказания.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</w:t>
      </w:r>
      <w:r>
        <w:rPr>
          <w:color w:val="000000"/>
        </w:rPr>
        <w:lastRenderedPageBreak/>
        <w:t>персональная ответственность руководства организации за реализацию внутриорганизационной антикоррупционной политики.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7)​ </w:t>
      </w:r>
      <w:r>
        <w:rPr>
          <w:color w:val="000000"/>
        </w:rPr>
        <w:t>Принцип открытости бизнеса.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Информирование контрагентов, партнеров и общественности о принятых в организации антикоррупционных стандартах ведения бизнеса.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8)​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Принцип постоянного контроля и регулярного мониторинга.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их исполнением.</w:t>
      </w:r>
    </w:p>
    <w:p w:rsidR="00FA7784" w:rsidRDefault="00FA7784" w:rsidP="00FA7784">
      <w:pPr>
        <w:pStyle w:val="p14"/>
        <w:shd w:val="clear" w:color="auto" w:fill="FFFFFF"/>
        <w:ind w:firstLine="708"/>
        <w:rPr>
          <w:color w:val="000000"/>
        </w:rPr>
      </w:pPr>
      <w:r>
        <w:rPr>
          <w:rStyle w:val="s1"/>
          <w:color w:val="000000"/>
        </w:rPr>
        <w:t>4.​ </w:t>
      </w:r>
      <w:r>
        <w:rPr>
          <w:color w:val="000000"/>
        </w:rPr>
        <w:t>Область применения политики и круг лиц, попадающих под ее действие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bookmarkStart w:id="2" w:name="_Toc369706628"/>
      <w:r>
        <w:rPr>
          <w:color w:val="000000"/>
        </w:rPr>
        <w:t>Работники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 «Управление культуры администрации МОГО «Ухта», лица, получающие муниципальные услуги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 «Управление культуры администрации МОГО «Ухта»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могут использовать Политику в целях получения сведений о нормативно-правовом регулировании в сфере противодействия коррупции и ответственности за совершение коррупционных правонарушений; об обязанностях, которые возложены на работников организации в связи с реализацией антикоррупционных мер.</w:t>
      </w:r>
      <w:bookmarkEnd w:id="2"/>
    </w:p>
    <w:p w:rsidR="00FA7784" w:rsidRDefault="00FA7784" w:rsidP="00FA7784">
      <w:pPr>
        <w:pStyle w:val="p14"/>
        <w:shd w:val="clear" w:color="auto" w:fill="FFFFFF"/>
        <w:ind w:firstLine="708"/>
        <w:rPr>
          <w:color w:val="000000"/>
        </w:rPr>
      </w:pPr>
      <w:r>
        <w:rPr>
          <w:rStyle w:val="s1"/>
          <w:color w:val="000000"/>
        </w:rPr>
        <w:t>5.​ </w:t>
      </w:r>
      <w:r>
        <w:rPr>
          <w:color w:val="000000"/>
        </w:rPr>
        <w:t>Определение должностных лиц организации, ответственных за реализацию антикоррупционной политики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Приказом по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назначаются ответственные лица за предупреждение коррупционных правонарушений (рабочая группа).</w:t>
      </w:r>
    </w:p>
    <w:p w:rsidR="00FA7784" w:rsidRDefault="00FA7784" w:rsidP="00FA7784">
      <w:pPr>
        <w:pStyle w:val="p14"/>
        <w:shd w:val="clear" w:color="auto" w:fill="FFFFFF"/>
        <w:ind w:firstLine="708"/>
        <w:rPr>
          <w:color w:val="000000"/>
        </w:rPr>
      </w:pPr>
      <w:r>
        <w:rPr>
          <w:rStyle w:val="s1"/>
          <w:color w:val="000000"/>
        </w:rPr>
        <w:t>6.​ </w:t>
      </w:r>
      <w:r>
        <w:rPr>
          <w:color w:val="000000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Обязанности работников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в связи с предупреждением и противодействием коррупции могут быть общими для всех сотрудников Учреждения или специальными, то есть устанавливаться для отдельных категорий работников.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Общие обязанности работников в связи с предупреждением и противодействием коррупции следующие: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воздерживаться от совершения и (или) участия в совершении коррупционных правонарушений в интересах или от имени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незамедлительно информировать непосредственного руководителя или лицо, ответственное за реализацию антикоррупционной политики о случаях склонения работника к совершению коррупционных правонарушений;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 незамедлительно информировать непосредственного начальника или 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или иными лицами;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МУ «Управление культуры администрации МОГО «Ухта»: руководства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«Ухта»; лиц, ответственных за реализацию антикоррупционной политики; работников, чья деятельность связана с коррупционными рисками; лиц, осуществляющих внутренний контроль и аудит, и т.д.</w:t>
      </w:r>
      <w:proofErr w:type="gramEnd"/>
    </w:p>
    <w:p w:rsidR="00FA7784" w:rsidRDefault="00FA7784" w:rsidP="00FA7784">
      <w:pPr>
        <w:pStyle w:val="p14"/>
        <w:shd w:val="clear" w:color="auto" w:fill="FFFFFF"/>
        <w:ind w:firstLine="708"/>
        <w:rPr>
          <w:color w:val="000000"/>
        </w:rPr>
      </w:pPr>
      <w:r>
        <w:rPr>
          <w:rStyle w:val="s1"/>
          <w:color w:val="000000"/>
        </w:rPr>
        <w:t>7.​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FA7784" w:rsidRDefault="00FA7784" w:rsidP="00FA7784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Реализуемые мероприятия предусмотрены Планом по противодействию коррупции в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на 2015 - 2016 годы.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План по противодействию коррупции в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на 2015 - 2016 годы утверждается директором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«Ухта», содержит информацию о порядке выполнения (сроки, ответственные лица).</w:t>
      </w:r>
    </w:p>
    <w:p w:rsidR="00FA7784" w:rsidRDefault="00FA7784" w:rsidP="00FA7784">
      <w:pPr>
        <w:pStyle w:val="p14"/>
        <w:shd w:val="clear" w:color="auto" w:fill="FFFFFF"/>
        <w:ind w:firstLine="708"/>
        <w:rPr>
          <w:color w:val="000000"/>
        </w:rPr>
      </w:pPr>
      <w:r>
        <w:rPr>
          <w:rStyle w:val="s1"/>
          <w:color w:val="000000"/>
        </w:rPr>
        <w:t>8.​ </w:t>
      </w:r>
      <w:r>
        <w:rPr>
          <w:color w:val="000000"/>
        </w:rPr>
        <w:t>Ответственность сотрудников за несоблюдение требований антикоррупционной политики</w:t>
      </w:r>
    </w:p>
    <w:p w:rsidR="00FA7784" w:rsidRDefault="00FA7784" w:rsidP="00FA7784">
      <w:pPr>
        <w:pStyle w:val="p14"/>
        <w:shd w:val="clear" w:color="auto" w:fill="FFFFFF"/>
        <w:ind w:firstLine="708"/>
        <w:rPr>
          <w:color w:val="000000"/>
        </w:rPr>
      </w:pPr>
      <w:r>
        <w:rPr>
          <w:color w:val="000000"/>
        </w:rPr>
        <w:t>Настоящая политика обязательная для исполнения всеми работниками.</w:t>
      </w:r>
    </w:p>
    <w:p w:rsidR="00FA7784" w:rsidRDefault="00FA7784" w:rsidP="00FA7784">
      <w:pPr>
        <w:pStyle w:val="p14"/>
        <w:shd w:val="clear" w:color="auto" w:fill="FFFFFF"/>
        <w:ind w:firstLine="708"/>
        <w:rPr>
          <w:color w:val="000000"/>
        </w:rPr>
      </w:pPr>
      <w:r>
        <w:rPr>
          <w:color w:val="000000"/>
        </w:rPr>
        <w:t>Все работники учреждения, независимо от занимаемой должности, несут личную ответственность за соблюдение принципов и требований настоящей политики.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Лица, виновные в нарушении требований настоящей политики могут быть привлечены к дисциплинарной, административной, гражданско-правовой и уголовной ответственности по инициативе и правоохранительных органов, в порядке и основаниям, предусмотренным законодательством Российской Федерации, локальными нормативными актами и трудовыми договорами.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Общие нормы, устанавливающие ответственность юридических лиц за коррупционные правонарушения, закреплены в статье 14 Федерального закона «О противодействии коррупции».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</w:t>
      </w:r>
      <w:r>
        <w:rPr>
          <w:color w:val="000000"/>
        </w:rPr>
        <w:lastRenderedPageBreak/>
        <w:t>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За незаконное вознаграждение от имени юридического лица статья 19.28 Кодекса Российской Федерации об административных правонарушениях (далее – КоАП РФ) устанавливает меры ответственности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</w:t>
      </w:r>
      <w:proofErr w:type="gramEnd"/>
      <w:r>
        <w:rPr>
          <w:color w:val="000000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положением), влечет наложение на юридическое лицо административного штрафа.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Статья 19.28 КоАП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организаций.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Незаконное привлечение к трудовой деятельности бывшего государственного (муниципального) служащего.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Организации должны учитывать положения статьи 12 Федерального закона «О противодействии коррупции»,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>
        <w:rPr>
          <w:color w:val="000000"/>
        </w:rPr>
        <w:t xml:space="preserve"> месту его службы.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Порядок представления работодателями указанной информации закреплен в постановлении Правительства Российской Федерации от 8 сентября 2010 г. № 700.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(пункт 4 Указа Президента Российской Федерации от 21 июля 2010 г. № 925).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Неисполнение работодателем обязанности, предусмотренной частью 4 статьи 12 Федерального закона «О противодействии коррупции», является правонарушением и </w:t>
      </w:r>
      <w:r>
        <w:rPr>
          <w:color w:val="000000"/>
        </w:rPr>
        <w:lastRenderedPageBreak/>
        <w:t>влечет в соответствии со статьей 19.29 КоАП РФ ответственность в виде административного штрафа.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Ответственность физических лиц за коррупционные правонарушения установлена статьей 13 Федерального закона «О противодействии коррупции». Трудовое законодательство не предусматривает специальных оснований </w:t>
      </w:r>
      <w:proofErr w:type="gramStart"/>
      <w:r>
        <w:rPr>
          <w:color w:val="000000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>
        <w:rPr>
          <w:color w:val="000000"/>
        </w:rPr>
        <w:t xml:space="preserve"> или от имени организации.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Тем не менее, в Трудовом кодексе Российской Федерации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(далее – ТК РФ) существует возможность привлечения работника организации к дисциплинарной ответственности.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Так, согласно статье 192 ТК РФ к дисциплинарным взысканиям, в частности, относится увольнение работника по основаниям, предусмотренным</w:t>
      </w:r>
      <w:r>
        <w:rPr>
          <w:rStyle w:val="apple-converted-space"/>
          <w:color w:val="000000"/>
        </w:rPr>
        <w:t> </w:t>
      </w:r>
      <w:hyperlink r:id="rId5" w:anchor="Par1359" w:history="1">
        <w:r>
          <w:rPr>
            <w:rStyle w:val="a3"/>
            <w:color w:val="2222CC"/>
          </w:rPr>
          <w:t>\o "Ссылка на текущий документ"</w:t>
        </w:r>
      </w:hyperlink>
      <w:r>
        <w:rPr>
          <w:rStyle w:val="apple-converted-space"/>
          <w:color w:val="000000"/>
        </w:rPr>
        <w:t> </w:t>
      </w:r>
      <w:hyperlink r:id="rId6" w:anchor="Par1360" w:history="1">
        <w:r>
          <w:rPr>
            <w:rStyle w:val="a3"/>
            <w:color w:val="2222CC"/>
          </w:rPr>
          <w:t>\o "Ссылка на текущий документ"</w:t>
        </w:r>
      </w:hyperlink>
      <w:r>
        <w:rPr>
          <w:rStyle w:val="apple-converted-space"/>
          <w:color w:val="000000"/>
        </w:rPr>
        <w:t> </w:t>
      </w:r>
      <w:hyperlink r:id="rId7" w:anchor="Par1381" w:history="1">
        <w:r>
          <w:rPr>
            <w:rStyle w:val="a3"/>
            <w:color w:val="2222CC"/>
          </w:rPr>
          <w:t>\o "Ссылка на текущий документ"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или</w:t>
      </w:r>
      <w:r>
        <w:rPr>
          <w:rStyle w:val="apple-converted-space"/>
          <w:color w:val="000000"/>
        </w:rPr>
        <w:t> </w:t>
      </w:r>
      <w:hyperlink r:id="rId8" w:anchor="Par1382" w:history="1">
        <w:r>
          <w:rPr>
            <w:rStyle w:val="a3"/>
            <w:color w:val="2222CC"/>
          </w:rPr>
          <w:t>\o "Ссылка на текущий документ"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9" w:anchor="Par4971" w:history="1">
        <w:r>
          <w:rPr>
            <w:rStyle w:val="a3"/>
            <w:color w:val="2222CC"/>
          </w:rPr>
          <w:t>\o "Ссылка на текущий документ"</w:t>
        </w:r>
      </w:hyperlink>
      <w:r>
        <w:rPr>
          <w:color w:val="000000"/>
        </w:rPr>
        <w:t>, а также</w:t>
      </w:r>
      <w:r>
        <w:rPr>
          <w:rStyle w:val="apple-converted-space"/>
          <w:color w:val="000000"/>
        </w:rPr>
        <w:t> </w:t>
      </w:r>
      <w:hyperlink r:id="rId10" w:anchor="Par1376" w:history="1">
        <w:r>
          <w:rPr>
            <w:rStyle w:val="a3"/>
            <w:color w:val="2222CC"/>
          </w:rPr>
          <w:t>\o "Ссылка на текущий документ"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или</w:t>
      </w:r>
      <w:r>
        <w:rPr>
          <w:rStyle w:val="apple-converted-space"/>
          <w:color w:val="000000"/>
        </w:rPr>
        <w:t> </w:t>
      </w:r>
      <w:hyperlink r:id="rId11" w:anchor="Par1377" w:history="1">
        <w:r>
          <w:rPr>
            <w:rStyle w:val="a3"/>
            <w:color w:val="2222CC"/>
          </w:rPr>
          <w:t>\o "Ссылка на текущий документ"</w:t>
        </w:r>
        <w:proofErr w:type="gramEnd"/>
      </w:hyperlink>
      <w:r>
        <w:rPr>
          <w:rStyle w:val="apple-converted-space"/>
          <w:color w:val="000000"/>
        </w:rPr>
        <w:t> </w:t>
      </w:r>
      <w:hyperlink r:id="rId12" w:anchor="Par1380" w:history="1">
        <w:r>
          <w:rPr>
            <w:rStyle w:val="a3"/>
            <w:color w:val="2222CC"/>
          </w:rPr>
          <w:t>\o "Ссылка на текущий документ"</w:t>
        </w:r>
      </w:hyperlink>
      <w:r>
        <w:rPr>
          <w:color w:val="000000"/>
        </w:rPr>
        <w:t> 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работодателем, в том числе в следующих случаях: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 «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» </w:t>
      </w:r>
      <w:proofErr w:type="gramStart"/>
      <w:r>
        <w:rPr>
          <w:color w:val="000000"/>
        </w:rPr>
        <w:t>пункта</w:t>
      </w:r>
      <w:proofErr w:type="gramEnd"/>
      <w:r>
        <w:rPr>
          <w:color w:val="000000"/>
        </w:rPr>
        <w:t> 6 части 1 статьи 81 ТК РФ);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 7 части первой статьи 81 ТК РФ);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 9 части первой статьи 81 ТК РФ);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(пункт 10 части первой статьи 81 ТК РФ).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9.​ </w:t>
      </w:r>
      <w:r>
        <w:rPr>
          <w:color w:val="000000"/>
        </w:rPr>
        <w:t>Порядок пересмотра и внесения изменений в антикоррупционную политику организации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Рекомендуется осуществлять регулярный мониторинг хода и эффективности реализации антикоррупционной политики. В частности, должностные лица, на которые возложены функции по предупреждению и противодействию коррупции. Если по результатам мониторинга возникают сомнения в эффективности реализуемых антикоррупционных мероприятий, необходимо внести в антикоррупционную политику изменения и дополнения.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Настоящая Политика является локальным нормативным документом постоянного действия.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Изменения в Политику вносятся в случаях: изменения законодательства в области антикоррупционной политики, выявления недостаточной эффективности существующих процедур по противодействию вовлечению в коррупционную деятельность и т.п.</w:t>
      </w:r>
    </w:p>
    <w:p w:rsidR="00FA7784" w:rsidRDefault="00FA7784" w:rsidP="00FA7784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Контроль за соблюдение требований Политики возлагается на рабочую группу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</w:t>
      </w:r>
    </w:p>
    <w:p w:rsidR="00910F4B" w:rsidRDefault="00910F4B"/>
    <w:sectPr w:rsidR="0091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63"/>
    <w:rsid w:val="00910F4B"/>
    <w:rsid w:val="00C33863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A7784"/>
  </w:style>
  <w:style w:type="paragraph" w:customStyle="1" w:styleId="p4">
    <w:name w:val="p4"/>
    <w:basedOn w:val="a"/>
    <w:rsid w:val="00F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784"/>
  </w:style>
  <w:style w:type="character" w:styleId="a3">
    <w:name w:val="Hyperlink"/>
    <w:basedOn w:val="a0"/>
    <w:uiPriority w:val="99"/>
    <w:semiHidden/>
    <w:unhideWhenUsed/>
    <w:rsid w:val="00FA7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A7784"/>
  </w:style>
  <w:style w:type="paragraph" w:customStyle="1" w:styleId="p4">
    <w:name w:val="p4"/>
    <w:basedOn w:val="a"/>
    <w:rsid w:val="00F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784"/>
  </w:style>
  <w:style w:type="character" w:styleId="a3">
    <w:name w:val="Hyperlink"/>
    <w:basedOn w:val="a0"/>
    <w:uiPriority w:val="99"/>
    <w:semiHidden/>
    <w:unhideWhenUsed/>
    <w:rsid w:val="00FA7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id=107112406&amp;url=ya-mail%3A%2F%2F158470411888100483%2F1.2&amp;name=%D0%BA%D0%BE%D1%80%D1%83%D0%BF%D1%86%D0%B8%D1%8F.doc&amp;c=5710ef441d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id=107112406&amp;url=ya-mail%3A%2F%2F158470411888100483%2F1.2&amp;name=%D0%BA%D0%BE%D1%80%D1%83%D0%BF%D1%86%D0%B8%D1%8F.doc&amp;c=5710ef441d35" TargetMode="External"/><Relationship Id="rId12" Type="http://schemas.openxmlformats.org/officeDocument/2006/relationships/hyperlink" Target="https://docviewer.yandex.ru/?uid=107112406&amp;url=ya-mail%3A%2F%2F158470411888100483%2F1.2&amp;name=%D0%BA%D0%BE%D1%80%D1%83%D0%BF%D1%86%D0%B8%D1%8F.doc&amp;c=5710ef441d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?uid=107112406&amp;url=ya-mail%3A%2F%2F158470411888100483%2F1.2&amp;name=%D0%BA%D0%BE%D1%80%D1%83%D0%BF%D1%86%D0%B8%D1%8F.doc&amp;c=5710ef441d35" TargetMode="External"/><Relationship Id="rId11" Type="http://schemas.openxmlformats.org/officeDocument/2006/relationships/hyperlink" Target="https://docviewer.yandex.ru/?uid=107112406&amp;url=ya-mail%3A%2F%2F158470411888100483%2F1.2&amp;name=%D0%BA%D0%BE%D1%80%D1%83%D0%BF%D1%86%D0%B8%D1%8F.doc&amp;c=5710ef441d35" TargetMode="External"/><Relationship Id="rId5" Type="http://schemas.openxmlformats.org/officeDocument/2006/relationships/hyperlink" Target="https://docviewer.yandex.ru/?uid=107112406&amp;url=ya-mail%3A%2F%2F158470411888100483%2F1.2&amp;name=%D0%BA%D0%BE%D1%80%D1%83%D0%BF%D1%86%D0%B8%D1%8F.doc&amp;c=5710ef441d35" TargetMode="External"/><Relationship Id="rId10" Type="http://schemas.openxmlformats.org/officeDocument/2006/relationships/hyperlink" Target="https://docviewer.yandex.ru/?uid=107112406&amp;url=ya-mail%3A%2F%2F158470411888100483%2F1.2&amp;name=%D0%BA%D0%BE%D1%80%D1%83%D0%BF%D1%86%D0%B8%D1%8F.doc&amp;c=5710ef441d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?uid=107112406&amp;url=ya-mail%3A%2F%2F158470411888100483%2F1.2&amp;name=%D0%BA%D0%BE%D1%80%D1%83%D0%BF%D1%86%D0%B8%D1%8F.doc&amp;c=5710ef441d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3050</Words>
  <Characters>17387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2016-04-15T13:52:00Z</dcterms:created>
  <dcterms:modified xsi:type="dcterms:W3CDTF">2016-04-15T13:53:00Z</dcterms:modified>
</cp:coreProperties>
</file>